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C9216B" w:rsidRDefault="003154A2" w:rsidP="00991697">
      <w:pPr>
        <w:jc w:val="center"/>
        <w:rPr>
          <w:rFonts w:ascii="Arial" w:hAnsi="Arial" w:cs="Arial"/>
          <w:sz w:val="22"/>
          <w:szCs w:val="22"/>
        </w:rPr>
      </w:pPr>
      <w:r w:rsidRPr="00C9216B">
        <w:rPr>
          <w:rFonts w:ascii="Arial" w:hAnsi="Arial" w:cs="Arial"/>
          <w:b/>
          <w:sz w:val="22"/>
          <w:szCs w:val="22"/>
        </w:rPr>
        <w:t>PROGRAMA</w:t>
      </w:r>
      <w:r w:rsidR="001D441A" w:rsidRPr="00C9216B">
        <w:rPr>
          <w:rFonts w:ascii="Arial" w:hAnsi="Arial" w:cs="Arial"/>
          <w:b/>
          <w:sz w:val="22"/>
          <w:szCs w:val="22"/>
        </w:rPr>
        <w:t>S</w:t>
      </w:r>
      <w:r w:rsidRPr="00C9216B">
        <w:rPr>
          <w:rFonts w:ascii="Arial" w:hAnsi="Arial" w:cs="Arial"/>
          <w:b/>
          <w:sz w:val="22"/>
          <w:szCs w:val="22"/>
        </w:rPr>
        <w:t xml:space="preserve"> </w:t>
      </w:r>
      <w:r w:rsidR="00644206" w:rsidRPr="00C9216B">
        <w:rPr>
          <w:rFonts w:ascii="Arial" w:hAnsi="Arial" w:cs="Arial"/>
          <w:b/>
          <w:sz w:val="22"/>
          <w:szCs w:val="22"/>
        </w:rPr>
        <w:t>43M</w:t>
      </w:r>
      <w:r w:rsidR="00F15D0C" w:rsidRPr="00C9216B">
        <w:rPr>
          <w:rFonts w:ascii="Arial" w:hAnsi="Arial" w:cs="Arial"/>
          <w:b/>
          <w:sz w:val="22"/>
          <w:szCs w:val="22"/>
        </w:rPr>
        <w:t>E</w:t>
      </w:r>
    </w:p>
    <w:p w:rsidR="003154A2" w:rsidRPr="00F42C8A" w:rsidRDefault="003154A2" w:rsidP="003154A2">
      <w:pPr>
        <w:spacing w:before="100"/>
        <w:ind w:left="426"/>
        <w:jc w:val="center"/>
        <w:rPr>
          <w:rFonts w:ascii="Arial" w:hAnsi="Arial" w:cs="Arial"/>
          <w:b/>
          <w:sz w:val="22"/>
          <w:szCs w:val="22"/>
        </w:rPr>
      </w:pPr>
    </w:p>
    <w:p w:rsidR="003154A2" w:rsidRPr="00C9216B" w:rsidRDefault="00131A12" w:rsidP="00991697">
      <w:pPr>
        <w:jc w:val="center"/>
        <w:rPr>
          <w:rFonts w:ascii="Arial" w:hAnsi="Arial" w:cs="Arial"/>
          <w:b/>
          <w:sz w:val="22"/>
          <w:szCs w:val="22"/>
        </w:rPr>
      </w:pPr>
      <w:r w:rsidRPr="00C9216B">
        <w:rPr>
          <w:rFonts w:ascii="Arial" w:hAnsi="Arial" w:cs="Arial"/>
          <w:b/>
          <w:sz w:val="22"/>
          <w:szCs w:val="22"/>
        </w:rPr>
        <w:t>C13</w:t>
      </w:r>
      <w:r w:rsidR="001876B6" w:rsidRPr="00C9216B">
        <w:rPr>
          <w:rFonts w:ascii="Arial" w:hAnsi="Arial" w:cs="Arial"/>
          <w:b/>
          <w:sz w:val="22"/>
          <w:szCs w:val="22"/>
        </w:rPr>
        <w:t xml:space="preserve"> </w:t>
      </w:r>
      <w:r w:rsidRPr="00C9216B">
        <w:rPr>
          <w:rFonts w:ascii="Arial" w:hAnsi="Arial" w:cs="Arial"/>
          <w:b/>
          <w:sz w:val="22"/>
          <w:szCs w:val="22"/>
        </w:rPr>
        <w:t>I</w:t>
      </w:r>
      <w:r w:rsidR="00F42C8A">
        <w:rPr>
          <w:rFonts w:ascii="Arial" w:hAnsi="Arial" w:cs="Arial"/>
          <w:b/>
          <w:sz w:val="22"/>
          <w:szCs w:val="22"/>
        </w:rPr>
        <w:t>0</w:t>
      </w:r>
      <w:r w:rsidR="00F15D0C" w:rsidRPr="00C9216B">
        <w:rPr>
          <w:rFonts w:ascii="Arial" w:hAnsi="Arial" w:cs="Arial"/>
          <w:b/>
          <w:sz w:val="22"/>
          <w:szCs w:val="22"/>
        </w:rPr>
        <w:t>5</w:t>
      </w:r>
      <w:r w:rsidRPr="00C9216B">
        <w:rPr>
          <w:rFonts w:ascii="Arial" w:hAnsi="Arial" w:cs="Arial"/>
          <w:b/>
          <w:sz w:val="22"/>
          <w:szCs w:val="22"/>
        </w:rPr>
        <w:t xml:space="preserve"> </w:t>
      </w:r>
      <w:r w:rsidR="004F4BAB" w:rsidRPr="00C9216B">
        <w:rPr>
          <w:rFonts w:ascii="Arial" w:hAnsi="Arial" w:cs="Arial"/>
          <w:b/>
          <w:sz w:val="22"/>
          <w:szCs w:val="22"/>
        </w:rPr>
        <w:t>INTERNACIONALIZACIÓN</w:t>
      </w:r>
      <w:r w:rsidR="008E7CEA">
        <w:rPr>
          <w:rFonts w:ascii="Arial" w:hAnsi="Arial" w:cs="Arial"/>
          <w:b/>
          <w:sz w:val="22"/>
          <w:szCs w:val="22"/>
        </w:rPr>
        <w:t>. PYMES</w:t>
      </w:r>
      <w:bookmarkStart w:id="0" w:name="_GoBack"/>
      <w:bookmarkEnd w:id="0"/>
    </w:p>
    <w:p w:rsidR="003154A2" w:rsidRDefault="003154A2" w:rsidP="003154A2">
      <w:pPr>
        <w:spacing w:before="100"/>
        <w:ind w:left="426"/>
        <w:jc w:val="center"/>
        <w:rPr>
          <w:rFonts w:ascii="Arial" w:hAnsi="Arial" w:cs="Arial"/>
          <w:b/>
          <w:sz w:val="22"/>
          <w:szCs w:val="22"/>
        </w:rPr>
      </w:pPr>
    </w:p>
    <w:p w:rsidR="003154A2" w:rsidRDefault="003154A2" w:rsidP="00517824">
      <w:pPr>
        <w:spacing w:before="100"/>
        <w:ind w:left="426"/>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1. </w:t>
      </w:r>
      <w:r w:rsidR="004F4BAB" w:rsidRPr="00517824">
        <w:rPr>
          <w:rFonts w:ascii="Arial" w:hAnsi="Arial" w:cs="Arial"/>
          <w:b/>
          <w:sz w:val="22"/>
          <w:szCs w:val="22"/>
        </w:rPr>
        <w:t>DENOMINACIÓN DEL COMPONENTE</w:t>
      </w:r>
    </w:p>
    <w:p w:rsidR="004F4BAB" w:rsidRDefault="004F4BAB" w:rsidP="00C04A13">
      <w:pPr>
        <w:spacing w:before="100"/>
        <w:ind w:firstLine="708"/>
        <w:rPr>
          <w:rFonts w:ascii="Arial" w:hAnsi="Arial" w:cs="Arial"/>
          <w:sz w:val="22"/>
          <w:szCs w:val="22"/>
        </w:rPr>
      </w:pPr>
      <w:r w:rsidRPr="004F4BAB">
        <w:rPr>
          <w:rFonts w:ascii="Arial" w:hAnsi="Arial" w:cs="Arial"/>
          <w:sz w:val="22"/>
          <w:szCs w:val="22"/>
        </w:rPr>
        <w:t>Impulso a la pyme</w:t>
      </w:r>
      <w:r>
        <w:rPr>
          <w:rFonts w:ascii="Arial" w:hAnsi="Arial" w:cs="Arial"/>
          <w:sz w:val="22"/>
          <w:szCs w:val="22"/>
        </w:rPr>
        <w:t>.</w:t>
      </w:r>
    </w:p>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2. </w:t>
      </w:r>
      <w:r w:rsidR="004F4BAB" w:rsidRPr="00517824">
        <w:rPr>
          <w:rFonts w:ascii="Arial" w:hAnsi="Arial" w:cs="Arial"/>
          <w:b/>
          <w:sz w:val="22"/>
          <w:szCs w:val="22"/>
        </w:rPr>
        <w:t>DESCRIPCIÓN GENERAL DEL COMPONENTE</w:t>
      </w:r>
    </w:p>
    <w:p w:rsidR="00131A12" w:rsidRPr="0000036B" w:rsidRDefault="00131A12" w:rsidP="00C04A13">
      <w:pPr>
        <w:spacing w:before="100" w:beforeAutospacing="1" w:after="100" w:afterAutospacing="1" w:line="360" w:lineRule="auto"/>
        <w:ind w:firstLine="708"/>
        <w:jc w:val="both"/>
        <w:rPr>
          <w:rFonts w:ascii="Arial" w:hAnsi="Arial" w:cs="Arial"/>
          <w:sz w:val="22"/>
          <w:szCs w:val="22"/>
        </w:rPr>
      </w:pPr>
      <w:r w:rsidRPr="0000036B">
        <w:rPr>
          <w:rFonts w:ascii="Arial" w:hAnsi="Arial" w:cs="Arial"/>
          <w:sz w:val="22"/>
          <w:szCs w:val="22"/>
        </w:rPr>
        <w:t xml:space="preserve">Las PYME tienen un papel fundamental en la economía europea, siendo el peso de las PYME en España mayor que en el conjunto de la UE. Teniendo en cuenta el importante segmento de trabajadores autónomos y </w:t>
      </w:r>
      <w:proofErr w:type="spellStart"/>
      <w:r w:rsidRPr="0000036B">
        <w:rPr>
          <w:rFonts w:ascii="Arial" w:hAnsi="Arial" w:cs="Arial"/>
          <w:sz w:val="22"/>
          <w:szCs w:val="22"/>
        </w:rPr>
        <w:t>microPYME</w:t>
      </w:r>
      <w:proofErr w:type="spellEnd"/>
      <w:r w:rsidRPr="0000036B">
        <w:rPr>
          <w:rFonts w:ascii="Arial" w:hAnsi="Arial" w:cs="Arial"/>
          <w:sz w:val="22"/>
          <w:szCs w:val="22"/>
        </w:rPr>
        <w:t xml:space="preserve"> que componen la economía española es importante impulsar la competitividad de nuestra economía y fomentar el crecimiento y el empleo. Para lograrlo se recogen en este componente un importante grupo de reformas e inversiones orientadas a reforzar el ecosistema empresarial español. Para lo que se promoverán actuaciones en cinco ámbitos estratégicos: emprendimiento, crecimiento, digitalización e innovación, sector del comercio e internalización, que se lograrán:</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 xml:space="preserve">Promoviendo un marco regulatorio más favorable, para generar un tejido empresarial más competitivo y </w:t>
      </w:r>
      <w:proofErr w:type="spellStart"/>
      <w:r w:rsidRPr="0000036B">
        <w:rPr>
          <w:rFonts w:ascii="Arial" w:hAnsi="Arial" w:cs="Arial"/>
          <w:sz w:val="22"/>
          <w:szCs w:val="22"/>
        </w:rPr>
        <w:t>resiliente</w:t>
      </w:r>
      <w:proofErr w:type="spellEnd"/>
      <w:r w:rsidRPr="0000036B">
        <w:rPr>
          <w:rFonts w:ascii="Arial" w:hAnsi="Arial" w:cs="Arial"/>
          <w:sz w:val="22"/>
          <w:szCs w:val="22"/>
        </w:rPr>
        <w:t>, así como favorecer la aparición y éxito de nuevas iniciativas emprendedoras.</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Eliminando los obstáculos que dificultan el crecimiento de las PYME.</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 xml:space="preserve">Impulsando la creación y crecimiento de las </w:t>
      </w:r>
      <w:proofErr w:type="spellStart"/>
      <w:r w:rsidRPr="0000036B">
        <w:rPr>
          <w:rFonts w:ascii="Arial" w:hAnsi="Arial" w:cs="Arial"/>
          <w:sz w:val="22"/>
          <w:szCs w:val="22"/>
        </w:rPr>
        <w:t>startups</w:t>
      </w:r>
      <w:proofErr w:type="spellEnd"/>
      <w:r w:rsidRPr="0000036B">
        <w:rPr>
          <w:rFonts w:ascii="Arial" w:hAnsi="Arial" w:cs="Arial"/>
          <w:sz w:val="22"/>
          <w:szCs w:val="22"/>
        </w:rPr>
        <w:t>.</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Modernizando los mecanismos de restructuración de empresas para dinamizar la estructura de mercado e impulsar la eficiencia económica.</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Fomentando el desarrollo de redes empresariales y el aprovechamiento de sinergias, así como la internacionalización de las empresas.</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Impulsando el emprendimiento y, en particular, la creación de empresas emergentes altamente innovadoras en el ámbito tecnológico (</w:t>
      </w:r>
      <w:proofErr w:type="spellStart"/>
      <w:r w:rsidRPr="0000036B">
        <w:rPr>
          <w:rFonts w:ascii="Arial" w:hAnsi="Arial" w:cs="Arial"/>
          <w:sz w:val="22"/>
          <w:szCs w:val="22"/>
        </w:rPr>
        <w:t>startups</w:t>
      </w:r>
      <w:proofErr w:type="spellEnd"/>
      <w:r w:rsidRPr="0000036B">
        <w:rPr>
          <w:rFonts w:ascii="Arial" w:hAnsi="Arial" w:cs="Arial"/>
          <w:sz w:val="22"/>
          <w:szCs w:val="22"/>
        </w:rPr>
        <w:t>) e industrial.</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Impulsando la capacitación de personas emprendedoras y empresarias.</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Reforzando los instrumentos de financiación para la creación y crecimiento empresarial.</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Abordando un plan masivo de digitalización, con una aproximación horizontal (para proporcionar un paquete básico de digitalización a un porcentaje importante del tejido de PYME) y vertical (para impulsar la digitalización de procesos y la innovación tecnológica en las empresas).</w:t>
      </w:r>
    </w:p>
    <w:p w:rsidR="00131A12" w:rsidRPr="0000036B"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lastRenderedPageBreak/>
        <w:t>Mejorando su eficiencia en el uso de la energía y los recursos, e incorporando energías renovables para contribuir al objetivo del Acuerdo de Par</w:t>
      </w:r>
      <w:r w:rsidR="004F4BAB">
        <w:rPr>
          <w:rFonts w:ascii="Arial" w:hAnsi="Arial" w:cs="Arial"/>
          <w:sz w:val="22"/>
          <w:szCs w:val="22"/>
        </w:rPr>
        <w:t>í</w:t>
      </w:r>
      <w:r w:rsidRPr="0000036B">
        <w:rPr>
          <w:rFonts w:ascii="Arial" w:hAnsi="Arial" w:cs="Arial"/>
          <w:sz w:val="22"/>
          <w:szCs w:val="22"/>
        </w:rPr>
        <w:t>s.</w:t>
      </w:r>
    </w:p>
    <w:p w:rsidR="00131A12" w:rsidRDefault="00131A12" w:rsidP="00C04A13">
      <w:pPr>
        <w:pStyle w:val="Prrafodelista"/>
        <w:numPr>
          <w:ilvl w:val="0"/>
          <w:numId w:val="4"/>
        </w:numPr>
        <w:spacing w:before="100" w:beforeAutospacing="1" w:after="100" w:afterAutospacing="1" w:line="360" w:lineRule="auto"/>
        <w:contextualSpacing w:val="0"/>
        <w:jc w:val="both"/>
        <w:rPr>
          <w:rFonts w:ascii="Arial" w:hAnsi="Arial" w:cs="Arial"/>
          <w:sz w:val="22"/>
          <w:szCs w:val="22"/>
        </w:rPr>
      </w:pPr>
      <w:r w:rsidRPr="0000036B">
        <w:rPr>
          <w:rFonts w:ascii="Arial" w:hAnsi="Arial" w:cs="Arial"/>
          <w:sz w:val="22"/>
          <w:szCs w:val="22"/>
        </w:rPr>
        <w:t>Identificando los riesgos derivados del cambio climático y promoviendo la adopción de medidas de adaptación.</w:t>
      </w: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3. </w:t>
      </w:r>
      <w:r w:rsidR="004F4BAB" w:rsidRPr="00517824">
        <w:rPr>
          <w:rFonts w:ascii="Arial" w:hAnsi="Arial" w:cs="Arial"/>
          <w:b/>
          <w:sz w:val="22"/>
          <w:szCs w:val="22"/>
        </w:rPr>
        <w:t>PRINCIPALES OBJETIVOS DEL COMPONENTE</w:t>
      </w:r>
    </w:p>
    <w:p w:rsidR="00131A12" w:rsidRPr="00131A12" w:rsidRDefault="00131A12" w:rsidP="00C04A13">
      <w:pPr>
        <w:spacing w:before="120" w:after="120" w:line="360" w:lineRule="exact"/>
        <w:ind w:firstLine="708"/>
        <w:jc w:val="both"/>
        <w:rPr>
          <w:rFonts w:ascii="Arial" w:hAnsi="Arial" w:cs="Arial"/>
          <w:sz w:val="22"/>
          <w:szCs w:val="22"/>
        </w:rPr>
      </w:pPr>
      <w:r w:rsidRPr="00131A12">
        <w:rPr>
          <w:rFonts w:ascii="Arial" w:hAnsi="Arial" w:cs="Arial"/>
          <w:sz w:val="22"/>
          <w:szCs w:val="22"/>
        </w:rPr>
        <w:t>El Componente 13 de Impulso a las PYME desarrolla inversiones y reformas para lograr los siguientes grandes objetivos:</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1: Impulsar el emprendimiento</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2: Impulsar el crecimiento empresarial</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3: Facilitar la transición digital e impulsar la innovación empresarial</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4: Impulsar el sector del comercio y</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5: Promover la internacionalización</w:t>
      </w:r>
    </w:p>
    <w:p w:rsidR="00517824" w:rsidRPr="00517824"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6 (transversal): En todos los objetivos anteriores se contribuirá a la reducción de emisiones, al uso eficiente de los recursos y al fortalecimiento de la resiliencia climática.</w:t>
      </w:r>
    </w:p>
    <w:p w:rsidR="00517824" w:rsidRPr="00517824" w:rsidRDefault="00517824" w:rsidP="008B3CA0">
      <w:pPr>
        <w:spacing w:before="100"/>
        <w:rPr>
          <w:rFonts w:ascii="Arial" w:hAnsi="Arial" w:cs="Arial"/>
          <w:sz w:val="22"/>
          <w:szCs w:val="22"/>
        </w:rPr>
      </w:pPr>
    </w:p>
    <w:p w:rsidR="00517824" w:rsidRPr="00517824" w:rsidRDefault="00517824" w:rsidP="005C4E22">
      <w:pPr>
        <w:spacing w:before="120" w:after="120" w:line="360" w:lineRule="exact"/>
        <w:jc w:val="both"/>
        <w:rPr>
          <w:rFonts w:ascii="Arial" w:hAnsi="Arial" w:cs="Arial"/>
          <w:b/>
          <w:sz w:val="22"/>
          <w:szCs w:val="22"/>
        </w:rPr>
      </w:pPr>
      <w:r w:rsidRPr="00517824">
        <w:rPr>
          <w:rFonts w:ascii="Arial" w:hAnsi="Arial" w:cs="Arial"/>
          <w:b/>
          <w:sz w:val="22"/>
          <w:szCs w:val="22"/>
        </w:rPr>
        <w:t xml:space="preserve">4. </w:t>
      </w:r>
      <w:r w:rsidR="004F4BAB" w:rsidRPr="00517824">
        <w:rPr>
          <w:rFonts w:ascii="Arial" w:hAnsi="Arial" w:cs="Arial"/>
          <w:b/>
          <w:sz w:val="22"/>
          <w:szCs w:val="22"/>
        </w:rPr>
        <w:t>DESCRIPCIÓN DE LA INVERSIÓN</w:t>
      </w:r>
    </w:p>
    <w:p w:rsidR="00F15D0C" w:rsidRPr="00F15D0C" w:rsidRDefault="00F15D0C" w:rsidP="00C04A13">
      <w:pPr>
        <w:spacing w:before="120" w:after="120" w:line="360" w:lineRule="atLeast"/>
        <w:ind w:firstLine="708"/>
        <w:jc w:val="both"/>
        <w:rPr>
          <w:rFonts w:ascii="Arial" w:hAnsi="Arial" w:cs="Arial"/>
          <w:bCs/>
          <w:sz w:val="22"/>
          <w:szCs w:val="22"/>
          <w:lang w:val="es-ES"/>
        </w:rPr>
      </w:pPr>
      <w:r w:rsidRPr="00F15D0C">
        <w:rPr>
          <w:rFonts w:ascii="Arial" w:hAnsi="Arial" w:cs="Arial"/>
          <w:bCs/>
          <w:sz w:val="22"/>
          <w:szCs w:val="22"/>
          <w:lang w:val="es-ES"/>
        </w:rPr>
        <w:t>Refuerzo de las capacidades e instrumentos del sistema español de apoyo a la</w:t>
      </w:r>
      <w:r>
        <w:rPr>
          <w:rFonts w:ascii="Arial" w:hAnsi="Arial" w:cs="Arial"/>
          <w:bCs/>
          <w:sz w:val="22"/>
          <w:szCs w:val="22"/>
          <w:lang w:val="es-ES"/>
        </w:rPr>
        <w:t xml:space="preserve"> </w:t>
      </w:r>
      <w:r w:rsidRPr="00F15D0C">
        <w:rPr>
          <w:rFonts w:ascii="Arial" w:hAnsi="Arial" w:cs="Arial"/>
          <w:bCs/>
          <w:sz w:val="22"/>
          <w:szCs w:val="22"/>
          <w:lang w:val="es-ES"/>
        </w:rPr>
        <w:t>exportación, internacionalización e inversión exterior. En particular:</w:t>
      </w:r>
    </w:p>
    <w:p w:rsidR="00F15D0C" w:rsidRPr="00F15D0C" w:rsidRDefault="00F15D0C" w:rsidP="000F5FDF">
      <w:pPr>
        <w:tabs>
          <w:tab w:val="left" w:pos="8280"/>
        </w:tabs>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1. Línea de financiación de estudios de viabilidad, factibilidad, pre factibilidad y</w:t>
      </w:r>
      <w:r>
        <w:rPr>
          <w:rFonts w:ascii="Arial" w:hAnsi="Arial" w:cs="Arial"/>
          <w:bCs/>
          <w:sz w:val="22"/>
          <w:szCs w:val="22"/>
          <w:lang w:val="es-ES"/>
        </w:rPr>
        <w:t xml:space="preserve"> </w:t>
      </w:r>
      <w:r w:rsidRPr="00F15D0C">
        <w:rPr>
          <w:rFonts w:ascii="Arial" w:hAnsi="Arial" w:cs="Arial"/>
          <w:bCs/>
          <w:sz w:val="22"/>
          <w:szCs w:val="22"/>
          <w:lang w:val="es-ES"/>
        </w:rPr>
        <w:t>modernización sectorial e institucional con cargo al Fondo para la</w:t>
      </w:r>
      <w:r>
        <w:rPr>
          <w:rFonts w:ascii="Arial" w:hAnsi="Arial" w:cs="Arial"/>
          <w:bCs/>
          <w:sz w:val="22"/>
          <w:szCs w:val="22"/>
          <w:lang w:val="es-ES"/>
        </w:rPr>
        <w:t xml:space="preserve"> </w:t>
      </w:r>
      <w:r w:rsidRPr="00F15D0C">
        <w:rPr>
          <w:rFonts w:ascii="Arial" w:hAnsi="Arial" w:cs="Arial"/>
          <w:bCs/>
          <w:sz w:val="22"/>
          <w:szCs w:val="22"/>
          <w:lang w:val="es-ES"/>
        </w:rPr>
        <w:t>Internacionalización de la Empresas (FIEM).</w:t>
      </w:r>
    </w:p>
    <w:p w:rsid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 xml:space="preserve">2. Programa </w:t>
      </w:r>
      <w:proofErr w:type="spellStart"/>
      <w:r w:rsidRPr="00F15D0C">
        <w:rPr>
          <w:rFonts w:ascii="Arial" w:hAnsi="Arial" w:cs="Arial"/>
          <w:bCs/>
          <w:sz w:val="22"/>
          <w:szCs w:val="22"/>
          <w:lang w:val="es-ES"/>
        </w:rPr>
        <w:t>INNOVAInvest</w:t>
      </w:r>
      <w:proofErr w:type="spellEnd"/>
      <w:r w:rsidRPr="00F15D0C">
        <w:rPr>
          <w:rFonts w:ascii="Arial" w:hAnsi="Arial" w:cs="Arial"/>
          <w:bCs/>
          <w:sz w:val="22"/>
          <w:szCs w:val="22"/>
          <w:lang w:val="es-ES"/>
        </w:rPr>
        <w:t>, de apoyo a la inversión extranjera en I+D.</w:t>
      </w:r>
      <w:r>
        <w:rPr>
          <w:rFonts w:ascii="Arial" w:hAnsi="Arial" w:cs="Arial"/>
          <w:bCs/>
          <w:sz w:val="22"/>
          <w:szCs w:val="22"/>
          <w:lang w:val="es-ES"/>
        </w:rPr>
        <w:t xml:space="preserve"> </w:t>
      </w:r>
    </w:p>
    <w:p w:rsidR="00F15D0C"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3. Programa VIVES, de ayudas económicas a los empleados en prácticas en empresas.</w:t>
      </w:r>
    </w:p>
    <w:p w:rsidR="00F15D0C"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 xml:space="preserve">4. Programa de formación </w:t>
      </w:r>
      <w:proofErr w:type="spellStart"/>
      <w:r w:rsidRPr="00F15D0C">
        <w:rPr>
          <w:rFonts w:ascii="Arial" w:hAnsi="Arial" w:cs="Arial"/>
          <w:bCs/>
          <w:sz w:val="22"/>
          <w:szCs w:val="22"/>
          <w:lang w:val="es-ES"/>
        </w:rPr>
        <w:t>Mentoring</w:t>
      </w:r>
      <w:proofErr w:type="spellEnd"/>
      <w:r w:rsidRPr="00F15D0C">
        <w:rPr>
          <w:rFonts w:ascii="Arial" w:hAnsi="Arial" w:cs="Arial"/>
          <w:bCs/>
          <w:sz w:val="22"/>
          <w:szCs w:val="22"/>
          <w:lang w:val="es-ES"/>
        </w:rPr>
        <w:t xml:space="preserve"> internacional de la Cámara de Comercio de</w:t>
      </w:r>
      <w:r>
        <w:rPr>
          <w:rFonts w:ascii="Arial" w:hAnsi="Arial" w:cs="Arial"/>
          <w:bCs/>
          <w:sz w:val="22"/>
          <w:szCs w:val="22"/>
          <w:lang w:val="es-ES"/>
        </w:rPr>
        <w:t xml:space="preserve"> </w:t>
      </w:r>
      <w:r w:rsidRPr="00F15D0C">
        <w:rPr>
          <w:rFonts w:ascii="Arial" w:hAnsi="Arial" w:cs="Arial"/>
          <w:bCs/>
          <w:sz w:val="22"/>
          <w:szCs w:val="22"/>
          <w:lang w:val="es-ES"/>
        </w:rPr>
        <w:t>España.</w:t>
      </w:r>
    </w:p>
    <w:p w:rsidR="00F15D0C"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5. Programa de fortalecimiento de los sistemas de comunicación, servicios</w:t>
      </w:r>
      <w:r>
        <w:rPr>
          <w:rFonts w:ascii="Arial" w:hAnsi="Arial" w:cs="Arial"/>
          <w:bCs/>
          <w:sz w:val="22"/>
          <w:szCs w:val="22"/>
          <w:lang w:val="es-ES"/>
        </w:rPr>
        <w:t xml:space="preserve"> </w:t>
      </w:r>
      <w:r w:rsidRPr="00F15D0C">
        <w:rPr>
          <w:rFonts w:ascii="Arial" w:hAnsi="Arial" w:cs="Arial"/>
          <w:bCs/>
          <w:sz w:val="22"/>
          <w:szCs w:val="22"/>
          <w:lang w:val="es-ES"/>
        </w:rPr>
        <w:t>telemáticos y digitalización de las asociaciones y federaciones exportadoras y de la</w:t>
      </w:r>
      <w:r>
        <w:rPr>
          <w:rFonts w:ascii="Arial" w:hAnsi="Arial" w:cs="Arial"/>
          <w:bCs/>
          <w:sz w:val="22"/>
          <w:szCs w:val="22"/>
          <w:lang w:val="es-ES"/>
        </w:rPr>
        <w:t xml:space="preserve"> </w:t>
      </w:r>
      <w:r w:rsidRPr="00F15D0C">
        <w:rPr>
          <w:rFonts w:ascii="Arial" w:hAnsi="Arial" w:cs="Arial"/>
          <w:bCs/>
          <w:sz w:val="22"/>
          <w:szCs w:val="22"/>
          <w:lang w:val="es-ES"/>
        </w:rPr>
        <w:t>Cámara de Comercio de España y Cámaras de Comercio españolas en el extranjero y</w:t>
      </w:r>
      <w:r>
        <w:rPr>
          <w:rFonts w:ascii="Arial" w:hAnsi="Arial" w:cs="Arial"/>
          <w:bCs/>
          <w:sz w:val="22"/>
          <w:szCs w:val="22"/>
          <w:lang w:val="es-ES"/>
        </w:rPr>
        <w:t xml:space="preserve"> </w:t>
      </w:r>
      <w:r w:rsidRPr="00F15D0C">
        <w:rPr>
          <w:rFonts w:ascii="Arial" w:hAnsi="Arial" w:cs="Arial"/>
          <w:bCs/>
          <w:sz w:val="22"/>
          <w:szCs w:val="22"/>
          <w:lang w:val="es-ES"/>
        </w:rPr>
        <w:t>federaciones de Cámaras con reconocimiento oficial.</w:t>
      </w:r>
    </w:p>
    <w:p w:rsidR="00F15D0C"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6. Programa de Ampliación de la Base Exportadora, para asegurar un apoyo ágil y</w:t>
      </w:r>
      <w:r>
        <w:rPr>
          <w:rFonts w:ascii="Arial" w:hAnsi="Arial" w:cs="Arial"/>
          <w:bCs/>
          <w:sz w:val="22"/>
          <w:szCs w:val="22"/>
          <w:lang w:val="es-ES"/>
        </w:rPr>
        <w:t xml:space="preserve"> </w:t>
      </w:r>
      <w:r w:rsidRPr="00F15D0C">
        <w:rPr>
          <w:rFonts w:ascii="Arial" w:hAnsi="Arial" w:cs="Arial"/>
          <w:bCs/>
          <w:sz w:val="22"/>
          <w:szCs w:val="22"/>
          <w:lang w:val="es-ES"/>
        </w:rPr>
        <w:t>personalizado por parte de ICEX a la internacionalización de las empresas, en</w:t>
      </w:r>
      <w:r>
        <w:rPr>
          <w:rFonts w:ascii="Arial" w:hAnsi="Arial" w:cs="Arial"/>
          <w:bCs/>
          <w:sz w:val="22"/>
          <w:szCs w:val="22"/>
          <w:lang w:val="es-ES"/>
        </w:rPr>
        <w:t xml:space="preserve"> </w:t>
      </w:r>
      <w:r w:rsidRPr="00F15D0C">
        <w:rPr>
          <w:rFonts w:ascii="Arial" w:hAnsi="Arial" w:cs="Arial"/>
          <w:bCs/>
          <w:sz w:val="22"/>
          <w:szCs w:val="22"/>
          <w:lang w:val="es-ES"/>
        </w:rPr>
        <w:t>particular de las PYMES.</w:t>
      </w:r>
    </w:p>
    <w:p w:rsidR="00F15D0C"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lastRenderedPageBreak/>
        <w:t>7. Programa de Fortalecimiento del ecosistema español de empresas de rápido</w:t>
      </w:r>
      <w:r>
        <w:rPr>
          <w:rFonts w:ascii="Arial" w:hAnsi="Arial" w:cs="Arial"/>
          <w:bCs/>
          <w:sz w:val="22"/>
          <w:szCs w:val="22"/>
          <w:lang w:val="es-ES"/>
        </w:rPr>
        <w:t xml:space="preserve"> </w:t>
      </w:r>
      <w:r w:rsidRPr="00F15D0C">
        <w:rPr>
          <w:rFonts w:ascii="Arial" w:hAnsi="Arial" w:cs="Arial"/>
          <w:bCs/>
          <w:sz w:val="22"/>
          <w:szCs w:val="22"/>
          <w:lang w:val="es-ES"/>
        </w:rPr>
        <w:t>crecimiento, que incluye un programa de inmersión en ecosistemas de referencia</w:t>
      </w:r>
      <w:r>
        <w:rPr>
          <w:rFonts w:ascii="Arial" w:hAnsi="Arial" w:cs="Arial"/>
          <w:bCs/>
          <w:sz w:val="22"/>
          <w:szCs w:val="22"/>
          <w:lang w:val="es-ES"/>
        </w:rPr>
        <w:t xml:space="preserve"> </w:t>
      </w:r>
      <w:r w:rsidRPr="00F15D0C">
        <w:rPr>
          <w:rFonts w:ascii="Arial" w:hAnsi="Arial" w:cs="Arial"/>
          <w:bCs/>
          <w:sz w:val="22"/>
          <w:szCs w:val="22"/>
          <w:lang w:val="es-ES"/>
        </w:rPr>
        <w:t>internacionales y actividades de innovación abierta sectorial a gran escala.</w:t>
      </w:r>
    </w:p>
    <w:p w:rsidR="00F15D0C"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8. Ayudas a la apertura y consolidación de mercados mediante subvenciones para</w:t>
      </w:r>
      <w:r>
        <w:rPr>
          <w:rFonts w:ascii="Arial" w:hAnsi="Arial" w:cs="Arial"/>
          <w:bCs/>
          <w:sz w:val="22"/>
          <w:szCs w:val="22"/>
          <w:lang w:val="es-ES"/>
        </w:rPr>
        <w:t xml:space="preserve"> </w:t>
      </w:r>
      <w:r w:rsidRPr="00F15D0C">
        <w:rPr>
          <w:rFonts w:ascii="Arial" w:hAnsi="Arial" w:cs="Arial"/>
          <w:bCs/>
          <w:sz w:val="22"/>
          <w:szCs w:val="22"/>
          <w:lang w:val="es-ES"/>
        </w:rPr>
        <w:t>gastos derivados de inspecciones y auditorias de autoridades de países terceros,</w:t>
      </w:r>
      <w:r>
        <w:rPr>
          <w:rFonts w:ascii="Arial" w:hAnsi="Arial" w:cs="Arial"/>
          <w:bCs/>
          <w:sz w:val="22"/>
          <w:szCs w:val="22"/>
          <w:lang w:val="es-ES"/>
        </w:rPr>
        <w:t xml:space="preserve"> </w:t>
      </w:r>
      <w:r w:rsidRPr="00F15D0C">
        <w:rPr>
          <w:rFonts w:ascii="Arial" w:hAnsi="Arial" w:cs="Arial"/>
          <w:bCs/>
          <w:sz w:val="22"/>
          <w:szCs w:val="22"/>
          <w:lang w:val="es-ES"/>
        </w:rPr>
        <w:t>aquellos derivados de la certificación/homologación vinculados con requisitos</w:t>
      </w:r>
      <w:r>
        <w:rPr>
          <w:rFonts w:ascii="Arial" w:hAnsi="Arial" w:cs="Arial"/>
          <w:bCs/>
          <w:sz w:val="22"/>
          <w:szCs w:val="22"/>
          <w:lang w:val="es-ES"/>
        </w:rPr>
        <w:t xml:space="preserve"> </w:t>
      </w:r>
      <w:r w:rsidRPr="00F15D0C">
        <w:rPr>
          <w:rFonts w:ascii="Arial" w:hAnsi="Arial" w:cs="Arial"/>
          <w:bCs/>
          <w:sz w:val="22"/>
          <w:szCs w:val="22"/>
          <w:lang w:val="es-ES"/>
        </w:rPr>
        <w:t>obligatorios de terceros países, así como para aquellos gastos jurídicos y de</w:t>
      </w:r>
      <w:r>
        <w:rPr>
          <w:rFonts w:ascii="Arial" w:hAnsi="Arial" w:cs="Arial"/>
          <w:bCs/>
          <w:sz w:val="22"/>
          <w:szCs w:val="22"/>
          <w:lang w:val="es-ES"/>
        </w:rPr>
        <w:t xml:space="preserve"> </w:t>
      </w:r>
      <w:r w:rsidRPr="00F15D0C">
        <w:rPr>
          <w:rFonts w:ascii="Arial" w:hAnsi="Arial" w:cs="Arial"/>
          <w:bCs/>
          <w:sz w:val="22"/>
          <w:szCs w:val="22"/>
          <w:lang w:val="es-ES"/>
        </w:rPr>
        <w:t>consultoría jurídica para la defensa de los intereses españoles.</w:t>
      </w:r>
    </w:p>
    <w:p w:rsidR="00F15D0C"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9. Programa de impulso de proyectos de inversión de impacto mediante el pago de</w:t>
      </w:r>
      <w:r>
        <w:rPr>
          <w:rFonts w:ascii="Arial" w:hAnsi="Arial" w:cs="Arial"/>
          <w:bCs/>
          <w:sz w:val="22"/>
          <w:szCs w:val="22"/>
          <w:lang w:val="es-ES"/>
        </w:rPr>
        <w:t xml:space="preserve"> </w:t>
      </w:r>
      <w:r w:rsidRPr="00F15D0C">
        <w:rPr>
          <w:rFonts w:ascii="Arial" w:hAnsi="Arial" w:cs="Arial"/>
          <w:bCs/>
          <w:sz w:val="22"/>
          <w:szCs w:val="22"/>
          <w:lang w:val="es-ES"/>
        </w:rPr>
        <w:t>‘</w:t>
      </w:r>
      <w:proofErr w:type="spellStart"/>
      <w:r w:rsidRPr="00F15D0C">
        <w:rPr>
          <w:rFonts w:ascii="Arial" w:hAnsi="Arial" w:cs="Arial"/>
          <w:bCs/>
          <w:sz w:val="22"/>
          <w:szCs w:val="22"/>
          <w:lang w:val="es-ES"/>
        </w:rPr>
        <w:t>bonus</w:t>
      </w:r>
      <w:proofErr w:type="spellEnd"/>
      <w:r w:rsidRPr="00F15D0C">
        <w:rPr>
          <w:rFonts w:ascii="Arial" w:hAnsi="Arial" w:cs="Arial"/>
          <w:bCs/>
          <w:sz w:val="22"/>
          <w:szCs w:val="22"/>
          <w:lang w:val="es-ES"/>
        </w:rPr>
        <w:t>’ en los costes de financiación de COFIDES.</w:t>
      </w:r>
    </w:p>
    <w:p w:rsidR="00F15D0C"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10. Impulso a la digitalización de los servicios de la administración para el apoyo a la</w:t>
      </w:r>
      <w:r>
        <w:rPr>
          <w:rFonts w:ascii="Arial" w:hAnsi="Arial" w:cs="Arial"/>
          <w:bCs/>
          <w:sz w:val="22"/>
          <w:szCs w:val="22"/>
          <w:lang w:val="es-ES"/>
        </w:rPr>
        <w:t xml:space="preserve"> </w:t>
      </w:r>
      <w:r w:rsidRPr="00F15D0C">
        <w:rPr>
          <w:rFonts w:ascii="Arial" w:hAnsi="Arial" w:cs="Arial"/>
          <w:bCs/>
          <w:sz w:val="22"/>
          <w:szCs w:val="22"/>
          <w:lang w:val="es-ES"/>
        </w:rPr>
        <w:t>internacionalización: desarrollo herramientas de Big data y modelización, refuerzo</w:t>
      </w:r>
      <w:r>
        <w:rPr>
          <w:rFonts w:ascii="Arial" w:hAnsi="Arial" w:cs="Arial"/>
          <w:bCs/>
          <w:sz w:val="22"/>
          <w:szCs w:val="22"/>
          <w:lang w:val="es-ES"/>
        </w:rPr>
        <w:t xml:space="preserve"> </w:t>
      </w:r>
      <w:r w:rsidRPr="00F15D0C">
        <w:rPr>
          <w:rFonts w:ascii="Arial" w:hAnsi="Arial" w:cs="Arial"/>
          <w:bCs/>
          <w:sz w:val="22"/>
          <w:szCs w:val="22"/>
          <w:lang w:val="es-ES"/>
        </w:rPr>
        <w:t>servicios de control y seguimiento inversiones internacionales para agilizar los</w:t>
      </w:r>
      <w:r>
        <w:rPr>
          <w:rFonts w:ascii="Arial" w:hAnsi="Arial" w:cs="Arial"/>
          <w:bCs/>
          <w:sz w:val="22"/>
          <w:szCs w:val="22"/>
          <w:lang w:val="es-ES"/>
        </w:rPr>
        <w:t xml:space="preserve"> </w:t>
      </w:r>
      <w:r w:rsidRPr="00F15D0C">
        <w:rPr>
          <w:rFonts w:ascii="Arial" w:hAnsi="Arial" w:cs="Arial"/>
          <w:bCs/>
          <w:sz w:val="22"/>
          <w:szCs w:val="22"/>
          <w:lang w:val="es-ES"/>
        </w:rPr>
        <w:t>procedimientos, modernización de servicios de apoyo exterior, red de laboratorios</w:t>
      </w:r>
      <w:r>
        <w:rPr>
          <w:rFonts w:ascii="Arial" w:hAnsi="Arial" w:cs="Arial"/>
          <w:bCs/>
          <w:sz w:val="22"/>
          <w:szCs w:val="22"/>
          <w:lang w:val="es-ES"/>
        </w:rPr>
        <w:t xml:space="preserve"> </w:t>
      </w:r>
      <w:r w:rsidRPr="00F15D0C">
        <w:rPr>
          <w:rFonts w:ascii="Arial" w:hAnsi="Arial" w:cs="Arial"/>
          <w:bCs/>
          <w:sz w:val="22"/>
          <w:szCs w:val="22"/>
          <w:lang w:val="es-ES"/>
        </w:rPr>
        <w:t>de comercio exterior de referencia.</w:t>
      </w:r>
    </w:p>
    <w:p w:rsidR="00CB3D9D" w:rsidRPr="00F15D0C" w:rsidRDefault="00F15D0C" w:rsidP="000F5FDF">
      <w:pPr>
        <w:spacing w:before="120" w:after="120" w:line="360" w:lineRule="atLeast"/>
        <w:jc w:val="both"/>
        <w:rPr>
          <w:rFonts w:ascii="Arial" w:hAnsi="Arial" w:cs="Arial"/>
          <w:bCs/>
          <w:sz w:val="22"/>
          <w:szCs w:val="22"/>
          <w:lang w:val="es-ES"/>
        </w:rPr>
      </w:pPr>
      <w:r w:rsidRPr="00F15D0C">
        <w:rPr>
          <w:rFonts w:ascii="Arial" w:hAnsi="Arial" w:cs="Arial"/>
          <w:bCs/>
          <w:sz w:val="22"/>
          <w:szCs w:val="22"/>
          <w:lang w:val="es-ES"/>
        </w:rPr>
        <w:t>11. Digital ICEX para digitalización de ICEX y creación Campus Virtual.</w:t>
      </w:r>
    </w:p>
    <w:p w:rsidR="00F15D0C" w:rsidRDefault="00F15D0C" w:rsidP="00F15D0C">
      <w:pPr>
        <w:spacing w:before="100"/>
        <w:jc w:val="both"/>
        <w:rPr>
          <w:rFonts w:ascii="Arial" w:hAnsi="Arial" w:cs="Arial"/>
          <w:sz w:val="22"/>
          <w:szCs w:val="22"/>
        </w:rPr>
      </w:pPr>
    </w:p>
    <w:p w:rsid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4F4BAB" w:rsidRPr="00517824">
        <w:rPr>
          <w:rFonts w:ascii="Arial" w:hAnsi="Arial" w:cs="Arial"/>
          <w:b/>
          <w:sz w:val="22"/>
          <w:szCs w:val="22"/>
        </w:rPr>
        <w:t>COSTE DE LA INVERSIÓN Y DISTRIBUCIÓN ANUALIZADA</w:t>
      </w:r>
    </w:p>
    <w:p w:rsidR="006D62D5" w:rsidRDefault="006D62D5" w:rsidP="008B3CA0">
      <w:pPr>
        <w:spacing w:before="100"/>
        <w:rPr>
          <w:rFonts w:ascii="Arial" w:hAnsi="Arial" w:cs="Arial"/>
          <w:b/>
          <w:sz w:val="22"/>
          <w:szCs w:val="22"/>
        </w:rPr>
      </w:pPr>
    </w:p>
    <w:p w:rsidR="006D62D5" w:rsidRPr="001D441A" w:rsidRDefault="006D62D5" w:rsidP="008B3CA0">
      <w:pPr>
        <w:spacing w:before="100"/>
        <w:rPr>
          <w:rFonts w:ascii="Arial" w:hAnsi="Arial" w:cs="Arial"/>
        </w:rPr>
      </w:pPr>
      <w:r w:rsidRPr="001D441A">
        <w:rPr>
          <w:rFonts w:ascii="Arial" w:hAnsi="Arial" w:cs="Arial"/>
        </w:rPr>
        <w:tab/>
      </w:r>
      <w:r w:rsidR="001D441A" w:rsidRPr="001D441A">
        <w:rPr>
          <w:rFonts w:ascii="Arial" w:hAnsi="Arial" w:cs="Arial"/>
        </w:rPr>
        <w:t>Millones de euros</w:t>
      </w:r>
    </w:p>
    <w:tbl>
      <w:tblPr>
        <w:tblStyle w:val="Tablaconcuadrcula"/>
        <w:tblW w:w="9224"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26"/>
        <w:gridCol w:w="926"/>
        <w:gridCol w:w="882"/>
        <w:gridCol w:w="882"/>
        <w:gridCol w:w="882"/>
        <w:gridCol w:w="882"/>
        <w:gridCol w:w="882"/>
        <w:gridCol w:w="850"/>
        <w:gridCol w:w="912"/>
      </w:tblGrid>
      <w:tr w:rsidR="006D62D5" w:rsidRPr="006D62D5" w:rsidTr="00C04A13">
        <w:trPr>
          <w:trHeight w:val="268"/>
          <w:tblHeader/>
        </w:trPr>
        <w:tc>
          <w:tcPr>
            <w:tcW w:w="2126" w:type="dxa"/>
            <w:vAlign w:val="center"/>
          </w:tcPr>
          <w:p w:rsidR="006D62D5" w:rsidRPr="006D62D5" w:rsidRDefault="006D62D5" w:rsidP="00DF7AF3">
            <w:pPr>
              <w:ind w:left="31"/>
              <w:rPr>
                <w:rFonts w:ascii="Arial" w:hAnsi="Arial" w:cs="Arial"/>
                <w:b/>
                <w:sz w:val="18"/>
                <w:szCs w:val="18"/>
              </w:rPr>
            </w:pPr>
            <w:proofErr w:type="spellStart"/>
            <w:r w:rsidRPr="006D62D5">
              <w:rPr>
                <w:rFonts w:ascii="Arial" w:hAnsi="Arial" w:cs="Arial"/>
                <w:b/>
                <w:sz w:val="18"/>
                <w:szCs w:val="18"/>
              </w:rPr>
              <w:t>Periodificación</w:t>
            </w:r>
            <w:proofErr w:type="spellEnd"/>
          </w:p>
        </w:tc>
        <w:tc>
          <w:tcPr>
            <w:tcW w:w="926" w:type="dxa"/>
            <w:vAlign w:val="center"/>
          </w:tcPr>
          <w:p w:rsidR="006D62D5" w:rsidRPr="006D62D5" w:rsidRDefault="006D62D5" w:rsidP="00DF7AF3">
            <w:pPr>
              <w:ind w:left="-83"/>
              <w:jc w:val="right"/>
              <w:rPr>
                <w:rFonts w:ascii="Arial" w:hAnsi="Arial" w:cs="Arial"/>
                <w:b/>
                <w:sz w:val="18"/>
                <w:szCs w:val="18"/>
              </w:rPr>
            </w:pPr>
            <w:r w:rsidRPr="006D62D5">
              <w:rPr>
                <w:rFonts w:ascii="Arial" w:hAnsi="Arial" w:cs="Arial"/>
                <w:b/>
                <w:sz w:val="18"/>
                <w:szCs w:val="18"/>
              </w:rPr>
              <w:t>2020</w:t>
            </w:r>
          </w:p>
        </w:tc>
        <w:tc>
          <w:tcPr>
            <w:tcW w:w="882" w:type="dxa"/>
            <w:vAlign w:val="center"/>
          </w:tcPr>
          <w:p w:rsidR="006D62D5" w:rsidRPr="006D62D5" w:rsidRDefault="006D62D5" w:rsidP="00DF7AF3">
            <w:pPr>
              <w:ind w:left="-83"/>
              <w:jc w:val="right"/>
              <w:rPr>
                <w:rFonts w:ascii="Arial" w:hAnsi="Arial" w:cs="Arial"/>
                <w:b/>
                <w:sz w:val="18"/>
                <w:szCs w:val="18"/>
              </w:rPr>
            </w:pPr>
            <w:r w:rsidRPr="006D62D5">
              <w:rPr>
                <w:rFonts w:ascii="Arial" w:hAnsi="Arial" w:cs="Arial"/>
                <w:b/>
                <w:sz w:val="18"/>
                <w:szCs w:val="18"/>
              </w:rPr>
              <w:t>2021</w:t>
            </w:r>
          </w:p>
        </w:tc>
        <w:tc>
          <w:tcPr>
            <w:tcW w:w="882" w:type="dxa"/>
            <w:vAlign w:val="center"/>
          </w:tcPr>
          <w:p w:rsidR="006D62D5" w:rsidRPr="006D62D5" w:rsidRDefault="006D62D5" w:rsidP="00DF7AF3">
            <w:pPr>
              <w:ind w:left="-83"/>
              <w:jc w:val="right"/>
              <w:rPr>
                <w:rFonts w:ascii="Arial" w:hAnsi="Arial" w:cs="Arial"/>
                <w:b/>
                <w:sz w:val="18"/>
                <w:szCs w:val="18"/>
              </w:rPr>
            </w:pPr>
            <w:r w:rsidRPr="006D62D5">
              <w:rPr>
                <w:rFonts w:ascii="Arial" w:hAnsi="Arial" w:cs="Arial"/>
                <w:b/>
                <w:sz w:val="18"/>
                <w:szCs w:val="18"/>
              </w:rPr>
              <w:t>2022</w:t>
            </w:r>
          </w:p>
        </w:tc>
        <w:tc>
          <w:tcPr>
            <w:tcW w:w="882" w:type="dxa"/>
            <w:vAlign w:val="center"/>
          </w:tcPr>
          <w:p w:rsidR="006D62D5" w:rsidRPr="006D62D5" w:rsidRDefault="006D62D5" w:rsidP="00DF7AF3">
            <w:pPr>
              <w:ind w:left="-83"/>
              <w:jc w:val="right"/>
              <w:rPr>
                <w:rFonts w:ascii="Arial" w:hAnsi="Arial" w:cs="Arial"/>
                <w:b/>
                <w:sz w:val="18"/>
                <w:szCs w:val="18"/>
              </w:rPr>
            </w:pPr>
            <w:r w:rsidRPr="006D62D5">
              <w:rPr>
                <w:rFonts w:ascii="Arial" w:hAnsi="Arial" w:cs="Arial"/>
                <w:b/>
                <w:sz w:val="18"/>
                <w:szCs w:val="18"/>
              </w:rPr>
              <w:t>2023</w:t>
            </w:r>
          </w:p>
        </w:tc>
        <w:tc>
          <w:tcPr>
            <w:tcW w:w="882" w:type="dxa"/>
            <w:vAlign w:val="center"/>
          </w:tcPr>
          <w:p w:rsidR="006D62D5" w:rsidRPr="006D62D5" w:rsidRDefault="006D62D5" w:rsidP="00DF7AF3">
            <w:pPr>
              <w:ind w:left="-83"/>
              <w:jc w:val="right"/>
              <w:rPr>
                <w:rFonts w:ascii="Arial" w:hAnsi="Arial" w:cs="Arial"/>
                <w:b/>
                <w:sz w:val="18"/>
                <w:szCs w:val="18"/>
              </w:rPr>
            </w:pPr>
            <w:r w:rsidRPr="006D62D5">
              <w:rPr>
                <w:rFonts w:ascii="Arial" w:hAnsi="Arial" w:cs="Arial"/>
                <w:b/>
                <w:sz w:val="18"/>
                <w:szCs w:val="18"/>
              </w:rPr>
              <w:t>2024</w:t>
            </w:r>
          </w:p>
        </w:tc>
        <w:tc>
          <w:tcPr>
            <w:tcW w:w="882" w:type="dxa"/>
            <w:vAlign w:val="center"/>
          </w:tcPr>
          <w:p w:rsidR="006D62D5" w:rsidRPr="006D62D5" w:rsidRDefault="006D62D5" w:rsidP="00DF7AF3">
            <w:pPr>
              <w:ind w:left="-83"/>
              <w:jc w:val="right"/>
              <w:rPr>
                <w:rFonts w:ascii="Arial" w:hAnsi="Arial" w:cs="Arial"/>
                <w:b/>
                <w:sz w:val="18"/>
                <w:szCs w:val="18"/>
              </w:rPr>
            </w:pPr>
            <w:r w:rsidRPr="006D62D5">
              <w:rPr>
                <w:rFonts w:ascii="Arial" w:hAnsi="Arial" w:cs="Arial"/>
                <w:b/>
                <w:sz w:val="18"/>
                <w:szCs w:val="18"/>
              </w:rPr>
              <w:t>2025</w:t>
            </w:r>
          </w:p>
        </w:tc>
        <w:tc>
          <w:tcPr>
            <w:tcW w:w="850" w:type="dxa"/>
            <w:vAlign w:val="center"/>
          </w:tcPr>
          <w:p w:rsidR="006D62D5" w:rsidRPr="006D62D5" w:rsidRDefault="006D62D5" w:rsidP="00DF7AF3">
            <w:pPr>
              <w:ind w:left="-83"/>
              <w:jc w:val="right"/>
              <w:rPr>
                <w:rFonts w:ascii="Arial" w:hAnsi="Arial" w:cs="Arial"/>
                <w:b/>
                <w:sz w:val="18"/>
                <w:szCs w:val="18"/>
              </w:rPr>
            </w:pPr>
            <w:r w:rsidRPr="006D62D5">
              <w:rPr>
                <w:rFonts w:ascii="Arial" w:hAnsi="Arial" w:cs="Arial"/>
                <w:b/>
                <w:sz w:val="18"/>
                <w:szCs w:val="18"/>
              </w:rPr>
              <w:t>2026</w:t>
            </w:r>
          </w:p>
        </w:tc>
        <w:tc>
          <w:tcPr>
            <w:tcW w:w="912" w:type="dxa"/>
            <w:vAlign w:val="center"/>
          </w:tcPr>
          <w:p w:rsidR="006D62D5" w:rsidRPr="006D62D5" w:rsidRDefault="006D62D5" w:rsidP="00DF7AF3">
            <w:pPr>
              <w:ind w:left="-83"/>
              <w:jc w:val="right"/>
              <w:rPr>
                <w:rFonts w:ascii="Arial" w:hAnsi="Arial" w:cs="Arial"/>
                <w:b/>
                <w:sz w:val="18"/>
                <w:szCs w:val="18"/>
              </w:rPr>
            </w:pPr>
            <w:r w:rsidRPr="006D62D5">
              <w:rPr>
                <w:rFonts w:ascii="Arial" w:hAnsi="Arial" w:cs="Arial"/>
                <w:b/>
                <w:sz w:val="18"/>
                <w:szCs w:val="18"/>
              </w:rPr>
              <w:t>Total</w:t>
            </w:r>
          </w:p>
        </w:tc>
      </w:tr>
      <w:tr w:rsidR="006D62D5" w:rsidRPr="006D62D5" w:rsidTr="00C04A13">
        <w:trPr>
          <w:trHeight w:hRule="exact" w:val="270"/>
        </w:trPr>
        <w:tc>
          <w:tcPr>
            <w:tcW w:w="2126" w:type="dxa"/>
            <w:vAlign w:val="center"/>
          </w:tcPr>
          <w:p w:rsidR="006D62D5" w:rsidRPr="006D62D5" w:rsidRDefault="006D62D5" w:rsidP="00DF7AF3">
            <w:pPr>
              <w:ind w:left="31"/>
              <w:rPr>
                <w:rFonts w:ascii="Arial" w:hAnsi="Arial" w:cs="Arial"/>
                <w:b/>
                <w:sz w:val="18"/>
                <w:szCs w:val="18"/>
              </w:rPr>
            </w:pPr>
            <w:r w:rsidRPr="006D62D5">
              <w:rPr>
                <w:rFonts w:ascii="Arial" w:hAnsi="Arial" w:cs="Arial"/>
                <w:b/>
                <w:sz w:val="18"/>
                <w:szCs w:val="18"/>
              </w:rPr>
              <w:t>Coste del Mecanismo</w:t>
            </w:r>
          </w:p>
        </w:tc>
        <w:tc>
          <w:tcPr>
            <w:tcW w:w="926" w:type="dxa"/>
            <w:vAlign w:val="center"/>
          </w:tcPr>
          <w:p w:rsidR="006D62D5" w:rsidRPr="006D62D5" w:rsidRDefault="006D62D5" w:rsidP="00DF7AF3">
            <w:pPr>
              <w:ind w:left="-83"/>
              <w:jc w:val="right"/>
              <w:rPr>
                <w:rFonts w:ascii="Arial" w:hAnsi="Arial" w:cs="Arial"/>
                <w:sz w:val="18"/>
                <w:szCs w:val="18"/>
              </w:rPr>
            </w:pPr>
            <w:r w:rsidRPr="006D62D5">
              <w:rPr>
                <w:rFonts w:ascii="Arial" w:hAnsi="Arial" w:cs="Arial"/>
                <w:sz w:val="18"/>
                <w:szCs w:val="18"/>
              </w:rPr>
              <w:fldChar w:fldCharType="begin">
                <w:ffData>
                  <w:name w:val=""/>
                  <w:enabled/>
                  <w:calcOnExit w:val="0"/>
                  <w:textInput>
                    <w:type w:val="number"/>
                  </w:textInput>
                </w:ffData>
              </w:fldChar>
            </w:r>
            <w:r w:rsidRPr="006D62D5">
              <w:rPr>
                <w:rFonts w:ascii="Arial" w:hAnsi="Arial" w:cs="Arial"/>
                <w:sz w:val="18"/>
                <w:szCs w:val="18"/>
              </w:rPr>
              <w:instrText xml:space="preserve"> FORMTEXT </w:instrText>
            </w:r>
            <w:r w:rsidRPr="006D62D5">
              <w:rPr>
                <w:rFonts w:ascii="Arial" w:hAnsi="Arial" w:cs="Arial"/>
                <w:sz w:val="18"/>
                <w:szCs w:val="18"/>
              </w:rPr>
            </w:r>
            <w:r w:rsidRPr="006D62D5">
              <w:rPr>
                <w:rFonts w:ascii="Arial" w:hAnsi="Arial" w:cs="Arial"/>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sz w:val="18"/>
                <w:szCs w:val="18"/>
              </w:rPr>
              <w:fldChar w:fldCharType="end"/>
            </w:r>
          </w:p>
        </w:tc>
        <w:tc>
          <w:tcPr>
            <w:tcW w:w="882" w:type="dxa"/>
            <w:vAlign w:val="center"/>
          </w:tcPr>
          <w:p w:rsidR="006D62D5" w:rsidRPr="006D62D5" w:rsidRDefault="001D441A" w:rsidP="006D62D5">
            <w:pPr>
              <w:ind w:left="-83"/>
              <w:jc w:val="right"/>
              <w:rPr>
                <w:rFonts w:ascii="Arial" w:hAnsi="Arial" w:cs="Arial"/>
                <w:noProof/>
                <w:sz w:val="18"/>
                <w:szCs w:val="18"/>
              </w:rPr>
            </w:pPr>
            <w:r>
              <w:rPr>
                <w:rFonts w:ascii="Arial" w:hAnsi="Arial" w:cs="Arial"/>
                <w:noProof/>
                <w:sz w:val="18"/>
                <w:szCs w:val="18"/>
              </w:rPr>
              <w:t>22,495</w:t>
            </w:r>
          </w:p>
        </w:tc>
        <w:tc>
          <w:tcPr>
            <w:tcW w:w="882" w:type="dxa"/>
            <w:vAlign w:val="center"/>
          </w:tcPr>
          <w:p w:rsidR="006D62D5" w:rsidRPr="006D62D5" w:rsidRDefault="001D441A" w:rsidP="006D62D5">
            <w:pPr>
              <w:ind w:left="-83"/>
              <w:jc w:val="right"/>
              <w:rPr>
                <w:rFonts w:ascii="Arial" w:hAnsi="Arial" w:cs="Arial"/>
                <w:noProof/>
                <w:sz w:val="18"/>
                <w:szCs w:val="18"/>
              </w:rPr>
            </w:pPr>
            <w:r>
              <w:rPr>
                <w:rFonts w:ascii="Arial" w:hAnsi="Arial" w:cs="Arial"/>
                <w:noProof/>
                <w:sz w:val="18"/>
                <w:szCs w:val="18"/>
              </w:rPr>
              <w:t>87,005</w:t>
            </w:r>
          </w:p>
        </w:tc>
        <w:tc>
          <w:tcPr>
            <w:tcW w:w="882" w:type="dxa"/>
            <w:vAlign w:val="center"/>
          </w:tcPr>
          <w:p w:rsidR="006D62D5" w:rsidRPr="006D62D5" w:rsidRDefault="001D441A" w:rsidP="00DF7AF3">
            <w:pPr>
              <w:ind w:left="-83"/>
              <w:jc w:val="right"/>
              <w:rPr>
                <w:rFonts w:ascii="Arial" w:hAnsi="Arial" w:cs="Arial"/>
                <w:noProof/>
                <w:sz w:val="18"/>
                <w:szCs w:val="18"/>
              </w:rPr>
            </w:pPr>
            <w:r>
              <w:rPr>
                <w:rFonts w:ascii="Arial" w:hAnsi="Arial" w:cs="Arial"/>
                <w:noProof/>
                <w:sz w:val="18"/>
                <w:szCs w:val="18"/>
              </w:rPr>
              <w:t>92,330</w:t>
            </w:r>
          </w:p>
        </w:tc>
        <w:tc>
          <w:tcPr>
            <w:tcW w:w="882"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82"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50"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12" w:type="dxa"/>
            <w:vAlign w:val="center"/>
          </w:tcPr>
          <w:p w:rsidR="006D62D5" w:rsidRPr="006D62D5" w:rsidRDefault="001D441A" w:rsidP="00DF7AF3">
            <w:pPr>
              <w:ind w:left="-83"/>
              <w:jc w:val="right"/>
              <w:rPr>
                <w:rFonts w:ascii="Arial" w:hAnsi="Arial" w:cs="Arial"/>
                <w:noProof/>
                <w:sz w:val="18"/>
                <w:szCs w:val="18"/>
              </w:rPr>
            </w:pPr>
            <w:r>
              <w:rPr>
                <w:rFonts w:ascii="Arial" w:hAnsi="Arial" w:cs="Arial"/>
                <w:noProof/>
                <w:sz w:val="18"/>
                <w:szCs w:val="18"/>
              </w:rPr>
              <w:t>201,83</w:t>
            </w:r>
          </w:p>
        </w:tc>
      </w:tr>
      <w:tr w:rsidR="006D62D5" w:rsidRPr="006D62D5" w:rsidTr="00C04A13">
        <w:trPr>
          <w:trHeight w:hRule="exact" w:val="270"/>
        </w:trPr>
        <w:tc>
          <w:tcPr>
            <w:tcW w:w="2126" w:type="dxa"/>
            <w:vAlign w:val="center"/>
          </w:tcPr>
          <w:p w:rsidR="006D62D5" w:rsidRPr="006D62D5" w:rsidRDefault="006D62D5" w:rsidP="00DF7AF3">
            <w:pPr>
              <w:ind w:left="31"/>
              <w:rPr>
                <w:rFonts w:ascii="Arial" w:hAnsi="Arial" w:cs="Arial"/>
                <w:b/>
                <w:sz w:val="18"/>
                <w:szCs w:val="18"/>
              </w:rPr>
            </w:pPr>
            <w:r w:rsidRPr="006D62D5">
              <w:rPr>
                <w:rFonts w:ascii="Arial" w:hAnsi="Arial" w:cs="Arial"/>
                <w:b/>
                <w:sz w:val="18"/>
                <w:szCs w:val="18"/>
              </w:rPr>
              <w:t>Otra financiación</w:t>
            </w:r>
          </w:p>
        </w:tc>
        <w:tc>
          <w:tcPr>
            <w:tcW w:w="926"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82"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82"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82"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82"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82"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50"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12" w:type="dxa"/>
            <w:vAlign w:val="center"/>
          </w:tcPr>
          <w:p w:rsidR="006D62D5" w:rsidRPr="006D62D5" w:rsidRDefault="006D62D5" w:rsidP="00DF7AF3">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r>
      <w:tr w:rsidR="001D441A" w:rsidRPr="006D62D5" w:rsidTr="00C04A13">
        <w:trPr>
          <w:trHeight w:hRule="exact" w:val="425"/>
        </w:trPr>
        <w:tc>
          <w:tcPr>
            <w:tcW w:w="2126" w:type="dxa"/>
            <w:vAlign w:val="center"/>
          </w:tcPr>
          <w:p w:rsidR="001D441A" w:rsidRPr="006D62D5" w:rsidRDefault="001D441A" w:rsidP="001D441A">
            <w:pPr>
              <w:ind w:left="31"/>
              <w:rPr>
                <w:rFonts w:ascii="Arial" w:hAnsi="Arial" w:cs="Arial"/>
                <w:b/>
                <w:sz w:val="18"/>
                <w:szCs w:val="18"/>
              </w:rPr>
            </w:pPr>
            <w:r w:rsidRPr="006D62D5">
              <w:rPr>
                <w:rFonts w:ascii="Arial" w:hAnsi="Arial" w:cs="Arial"/>
                <w:b/>
                <w:sz w:val="18"/>
                <w:szCs w:val="18"/>
              </w:rPr>
              <w:t>Total</w:t>
            </w:r>
          </w:p>
        </w:tc>
        <w:tc>
          <w:tcPr>
            <w:tcW w:w="926" w:type="dxa"/>
            <w:vAlign w:val="center"/>
          </w:tcPr>
          <w:p w:rsidR="001D441A" w:rsidRPr="006D62D5" w:rsidRDefault="001D441A" w:rsidP="001D441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82" w:type="dxa"/>
            <w:vAlign w:val="center"/>
          </w:tcPr>
          <w:p w:rsidR="001D441A" w:rsidRPr="006D62D5" w:rsidRDefault="001D441A" w:rsidP="001D441A">
            <w:pPr>
              <w:ind w:left="-83"/>
              <w:jc w:val="right"/>
              <w:rPr>
                <w:rFonts w:ascii="Arial" w:hAnsi="Arial" w:cs="Arial"/>
                <w:noProof/>
                <w:sz w:val="18"/>
                <w:szCs w:val="18"/>
              </w:rPr>
            </w:pPr>
            <w:r>
              <w:rPr>
                <w:rFonts w:ascii="Arial" w:hAnsi="Arial" w:cs="Arial"/>
                <w:noProof/>
                <w:sz w:val="18"/>
                <w:szCs w:val="18"/>
              </w:rPr>
              <w:t>22,495</w:t>
            </w:r>
          </w:p>
        </w:tc>
        <w:tc>
          <w:tcPr>
            <w:tcW w:w="882" w:type="dxa"/>
            <w:vAlign w:val="center"/>
          </w:tcPr>
          <w:p w:rsidR="001D441A" w:rsidRPr="006D62D5" w:rsidRDefault="001D441A" w:rsidP="001D441A">
            <w:pPr>
              <w:ind w:left="-83"/>
              <w:jc w:val="right"/>
              <w:rPr>
                <w:rFonts w:ascii="Arial" w:hAnsi="Arial" w:cs="Arial"/>
                <w:noProof/>
                <w:sz w:val="18"/>
                <w:szCs w:val="18"/>
              </w:rPr>
            </w:pPr>
            <w:r>
              <w:rPr>
                <w:rFonts w:ascii="Arial" w:hAnsi="Arial" w:cs="Arial"/>
                <w:noProof/>
                <w:sz w:val="18"/>
                <w:szCs w:val="18"/>
              </w:rPr>
              <w:t>87,005</w:t>
            </w:r>
          </w:p>
        </w:tc>
        <w:tc>
          <w:tcPr>
            <w:tcW w:w="882" w:type="dxa"/>
            <w:vAlign w:val="center"/>
          </w:tcPr>
          <w:p w:rsidR="001D441A" w:rsidRPr="006D62D5" w:rsidRDefault="001D441A" w:rsidP="001D441A">
            <w:pPr>
              <w:ind w:left="-83"/>
              <w:jc w:val="right"/>
              <w:rPr>
                <w:rFonts w:ascii="Arial" w:hAnsi="Arial" w:cs="Arial"/>
                <w:noProof/>
                <w:sz w:val="18"/>
                <w:szCs w:val="18"/>
              </w:rPr>
            </w:pPr>
            <w:r>
              <w:rPr>
                <w:rFonts w:ascii="Arial" w:hAnsi="Arial" w:cs="Arial"/>
                <w:noProof/>
                <w:sz w:val="18"/>
                <w:szCs w:val="18"/>
              </w:rPr>
              <w:t>92,330</w:t>
            </w:r>
          </w:p>
        </w:tc>
        <w:tc>
          <w:tcPr>
            <w:tcW w:w="882" w:type="dxa"/>
            <w:vAlign w:val="center"/>
          </w:tcPr>
          <w:p w:rsidR="001D441A" w:rsidRPr="006D62D5" w:rsidRDefault="001D441A" w:rsidP="001D441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82" w:type="dxa"/>
            <w:vAlign w:val="center"/>
          </w:tcPr>
          <w:p w:rsidR="001D441A" w:rsidRPr="006D62D5" w:rsidRDefault="001D441A" w:rsidP="001D441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850" w:type="dxa"/>
            <w:vAlign w:val="center"/>
          </w:tcPr>
          <w:p w:rsidR="001D441A" w:rsidRPr="006D62D5" w:rsidRDefault="001D441A" w:rsidP="001D441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12" w:type="dxa"/>
            <w:vAlign w:val="center"/>
          </w:tcPr>
          <w:p w:rsidR="001D441A" w:rsidRPr="006D62D5" w:rsidRDefault="001D441A" w:rsidP="001D441A">
            <w:pPr>
              <w:ind w:left="-83"/>
              <w:jc w:val="right"/>
              <w:rPr>
                <w:rFonts w:ascii="Arial" w:hAnsi="Arial" w:cs="Arial"/>
                <w:noProof/>
                <w:sz w:val="18"/>
                <w:szCs w:val="18"/>
              </w:rPr>
            </w:pPr>
            <w:r>
              <w:rPr>
                <w:rFonts w:ascii="Arial" w:hAnsi="Arial" w:cs="Arial"/>
                <w:noProof/>
                <w:sz w:val="18"/>
                <w:szCs w:val="18"/>
              </w:rPr>
              <w:t>201,83</w:t>
            </w:r>
          </w:p>
        </w:tc>
      </w:tr>
    </w:tbl>
    <w:p w:rsidR="006D62D5" w:rsidRDefault="006D62D5" w:rsidP="008B3CA0">
      <w:pPr>
        <w:spacing w:before="100"/>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4F4BAB" w:rsidRPr="00517824">
        <w:rPr>
          <w:rFonts w:ascii="Arial" w:hAnsi="Arial" w:cs="Arial"/>
          <w:b/>
          <w:sz w:val="22"/>
          <w:szCs w:val="22"/>
        </w:rPr>
        <w:t xml:space="preserve">HITOS Y OBJETIVOS DE LA INVERSIÓN </w:t>
      </w:r>
    </w:p>
    <w:p w:rsidR="00315842" w:rsidRPr="000F5FDF" w:rsidRDefault="002C5499" w:rsidP="00C04A13">
      <w:pPr>
        <w:spacing w:before="120" w:after="120" w:line="360" w:lineRule="atLeast"/>
        <w:ind w:firstLine="425"/>
        <w:jc w:val="both"/>
        <w:rPr>
          <w:rFonts w:ascii="Arial" w:hAnsi="Arial" w:cs="Arial"/>
          <w:sz w:val="22"/>
          <w:szCs w:val="22"/>
        </w:rPr>
      </w:pPr>
      <w:r>
        <w:rPr>
          <w:rFonts w:ascii="Arial" w:hAnsi="Arial" w:cs="Arial"/>
          <w:sz w:val="22"/>
          <w:szCs w:val="22"/>
        </w:rPr>
        <w:t>Al menos 3.</w:t>
      </w:r>
      <w:r w:rsidR="000F5FDF" w:rsidRPr="000F5FDF">
        <w:rPr>
          <w:rFonts w:ascii="Arial" w:hAnsi="Arial" w:cs="Arial"/>
          <w:sz w:val="22"/>
          <w:szCs w:val="22"/>
        </w:rPr>
        <w:t>000 emp</w:t>
      </w:r>
      <w:r>
        <w:rPr>
          <w:rFonts w:ascii="Arial" w:hAnsi="Arial" w:cs="Arial"/>
          <w:sz w:val="22"/>
          <w:szCs w:val="22"/>
        </w:rPr>
        <w:t>resas, de las cuales al menos 2.</w:t>
      </w:r>
      <w:r w:rsidR="000F5FDF" w:rsidRPr="000F5FDF">
        <w:rPr>
          <w:rFonts w:ascii="Arial" w:hAnsi="Arial" w:cs="Arial"/>
          <w:sz w:val="22"/>
          <w:szCs w:val="22"/>
        </w:rPr>
        <w:t xml:space="preserve">500 pymes, deberán haber participado y completado proyectos de apoyo a su internacionalización en el marco de los Planes de Acción para la Internacionalización de la Economía Española 2021-2022 y 2023-2024. Las acciones horizontales de apoyo a la digitalización de la asociación de exportación, las Cámaras de Comercio y los servicios administrativos beneficiarán a todos los exportadores y promoverán la internacionalización de nuevas empresas, de conformidad con lo dispuesto en la Guía técnica sobre la aplicación del principio de «no causar un perjuicio significativo» (DO C 58 de 18.2.2021, p. 1) mediante el uso de una lista de exclusión y el requisito de cumplimiento de la legislación medioambiental pertinente de la UE y nacional. Las acciones en el marco de la inversión se seleccionarán a partir de la siguiente lista de proyectos/ámbitos: 1. Línea de financiación de estudios de viabilidad, factibilidad, pre factibilidad y modernización sectorial e institucional. 2. Programa </w:t>
      </w:r>
      <w:proofErr w:type="spellStart"/>
      <w:r w:rsidR="000F5FDF" w:rsidRPr="000F5FDF">
        <w:rPr>
          <w:rFonts w:ascii="Arial" w:hAnsi="Arial" w:cs="Arial"/>
          <w:sz w:val="22"/>
          <w:szCs w:val="22"/>
        </w:rPr>
        <w:t>INNOVAInvest</w:t>
      </w:r>
      <w:proofErr w:type="spellEnd"/>
      <w:r w:rsidR="000F5FDF" w:rsidRPr="000F5FDF">
        <w:rPr>
          <w:rFonts w:ascii="Arial" w:hAnsi="Arial" w:cs="Arial"/>
          <w:sz w:val="22"/>
          <w:szCs w:val="22"/>
        </w:rPr>
        <w:t xml:space="preserve">, de apoyo a la inversión extranjera en I+D. 3. El Programa VIVES, de ayudas económicas para contratar empleados en prácticas en empresas que participan en actividades de exportación. 4. El Programa de formación </w:t>
      </w:r>
      <w:proofErr w:type="spellStart"/>
      <w:r w:rsidR="000F5FDF" w:rsidRPr="000F5FDF">
        <w:rPr>
          <w:rFonts w:ascii="Arial" w:hAnsi="Arial" w:cs="Arial"/>
          <w:sz w:val="22"/>
          <w:szCs w:val="22"/>
        </w:rPr>
        <w:t>Mentoring</w:t>
      </w:r>
      <w:proofErr w:type="spellEnd"/>
      <w:r w:rsidR="000F5FDF" w:rsidRPr="000F5FDF">
        <w:rPr>
          <w:rFonts w:ascii="Arial" w:hAnsi="Arial" w:cs="Arial"/>
          <w:sz w:val="22"/>
          <w:szCs w:val="22"/>
        </w:rPr>
        <w:t xml:space="preserve"> internacional. 5. Programa de fortalecimiento de los sistemas de comunicación, servicios telemáticos y digitalización de las asociaciones y federaciones exportadoras y de las Cámaras de Comercio españolas en el extranjero y sus federaciones. 6. Programa de Ampliación de la Base Exportadora, para asegurar un apoyo ágil y personalizado por parte de ICEX a la internacionalización de las empresas, en particular, de las pymes. 7. Programa de Fortalecimiento del ecosistema español de empresas de rápido crecimiento. 8. Ayudas a la apertura y consolidación de mercados mediante subvenciones para gastos derivados de inspecciones y auditorias de autoridades de países terceros, así como para aquellos gastos jurídicos y de consultoría para la defensa comercial.</w:t>
      </w:r>
      <w:r w:rsidR="000F5FDF" w:rsidRPr="000F5FDF">
        <w:t xml:space="preserve"> </w:t>
      </w:r>
      <w:r w:rsidR="000F5FDF" w:rsidRPr="000F5FDF">
        <w:rPr>
          <w:rFonts w:ascii="Arial" w:hAnsi="Arial" w:cs="Arial"/>
          <w:sz w:val="22"/>
          <w:szCs w:val="22"/>
        </w:rPr>
        <w:t>9. Programa de incentivos financieros de COFIDES (una institución financiera de propiedad estatal que proporciona financiación a medio y largo plazo para apoyar proyectos de inversión en internacionalización de empresas) a fin de promover inversiones de impacto. 10. Impulso a la digitalización de los servicios de la Administración para el apoyo a la internacionalización. 11. Digital ICEX (entidad empresarial pública nacional que promueve la internacionalización de las empresas españolas), y creación del Campus Virtual. Los criterios de selección garantizarán la conformidad con la Guía técnica sobre la aplicación del principio de «no causar un perjuicio significativo» (DO C 58 de 18.2.2021, p. 1) de las operaciones subvencionadas en el marco de esta medida mediante el uso de la prueba de sostenibilidad, el uso de una lista de exclusión y el requisito de cumplimiento de la legislación medioambiental pertinente de la UE y nacional.</w:t>
      </w:r>
    </w:p>
    <w:sectPr w:rsidR="00315842" w:rsidRPr="000F5FDF"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AB7968"/>
    <w:multiLevelType w:val="hybridMultilevel"/>
    <w:tmpl w:val="7D48AB2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CD27F62"/>
    <w:multiLevelType w:val="hybridMultilevel"/>
    <w:tmpl w:val="4A54D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0F5FDF"/>
    <w:rsid w:val="00131A12"/>
    <w:rsid w:val="001876B6"/>
    <w:rsid w:val="001A5F87"/>
    <w:rsid w:val="001B34B9"/>
    <w:rsid w:val="001D441A"/>
    <w:rsid w:val="0028610E"/>
    <w:rsid w:val="002C5499"/>
    <w:rsid w:val="002F0C59"/>
    <w:rsid w:val="003154A2"/>
    <w:rsid w:val="00315842"/>
    <w:rsid w:val="003208C4"/>
    <w:rsid w:val="00343745"/>
    <w:rsid w:val="0037463F"/>
    <w:rsid w:val="00382F6E"/>
    <w:rsid w:val="003A7E9B"/>
    <w:rsid w:val="003D56D8"/>
    <w:rsid w:val="003F4CEF"/>
    <w:rsid w:val="0046397C"/>
    <w:rsid w:val="004F4BAB"/>
    <w:rsid w:val="00517824"/>
    <w:rsid w:val="00564761"/>
    <w:rsid w:val="005B477A"/>
    <w:rsid w:val="005C4BF4"/>
    <w:rsid w:val="005C4E22"/>
    <w:rsid w:val="00644206"/>
    <w:rsid w:val="006A4CA9"/>
    <w:rsid w:val="006D62D5"/>
    <w:rsid w:val="006F018F"/>
    <w:rsid w:val="007179B2"/>
    <w:rsid w:val="007B6373"/>
    <w:rsid w:val="007E37FC"/>
    <w:rsid w:val="007F3B1F"/>
    <w:rsid w:val="008076C5"/>
    <w:rsid w:val="00814CA3"/>
    <w:rsid w:val="008476C0"/>
    <w:rsid w:val="008620A4"/>
    <w:rsid w:val="008B3CA0"/>
    <w:rsid w:val="008B6C42"/>
    <w:rsid w:val="008D6462"/>
    <w:rsid w:val="008E7CEA"/>
    <w:rsid w:val="008F0C79"/>
    <w:rsid w:val="0093453B"/>
    <w:rsid w:val="00952F88"/>
    <w:rsid w:val="00991697"/>
    <w:rsid w:val="009A64D7"/>
    <w:rsid w:val="009A7074"/>
    <w:rsid w:val="00A02EB2"/>
    <w:rsid w:val="00A06941"/>
    <w:rsid w:val="00A32DF7"/>
    <w:rsid w:val="00A44DEA"/>
    <w:rsid w:val="00A9503D"/>
    <w:rsid w:val="00AE318F"/>
    <w:rsid w:val="00B30BB6"/>
    <w:rsid w:val="00B6769D"/>
    <w:rsid w:val="00B80D92"/>
    <w:rsid w:val="00BA1327"/>
    <w:rsid w:val="00BB64BC"/>
    <w:rsid w:val="00BE5B5A"/>
    <w:rsid w:val="00C04A13"/>
    <w:rsid w:val="00C87CB2"/>
    <w:rsid w:val="00C9216B"/>
    <w:rsid w:val="00CA5DBC"/>
    <w:rsid w:val="00CB3D9D"/>
    <w:rsid w:val="00CB75ED"/>
    <w:rsid w:val="00D31F7A"/>
    <w:rsid w:val="00D46D8D"/>
    <w:rsid w:val="00ED092E"/>
    <w:rsid w:val="00F15D0C"/>
    <w:rsid w:val="00F42C8A"/>
    <w:rsid w:val="00F70768"/>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14421"/>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2D5"/>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B0067-170F-449E-84F3-0D0F2E3AC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1237</Words>
  <Characters>7457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14</cp:revision>
  <cp:lastPrinted>2021-10-05T07:02:00Z</cp:lastPrinted>
  <dcterms:created xsi:type="dcterms:W3CDTF">2021-09-20T12:08:00Z</dcterms:created>
  <dcterms:modified xsi:type="dcterms:W3CDTF">2021-10-05T15:21:00Z</dcterms:modified>
</cp:coreProperties>
</file>